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8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0" w:name="_Toc25687"/>
      <w:r>
        <w:rPr>
          <w:rFonts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</w:rPr>
        <w:t>1</w:t>
      </w:r>
      <w:r>
        <w:rPr>
          <w:rFonts w:ascii="Times New Roman" w:hAnsi="Times New Roman" w:eastAsia="宋体" w:cs="Times New Roman"/>
          <w:kern w:val="2"/>
          <w:sz w:val="28"/>
        </w:rPr>
        <w:t>：</w:t>
      </w:r>
      <w:r>
        <w:rPr>
          <w:rFonts w:hint="eastAsia" w:ascii="Times New Roman" w:hAnsi="Times New Roman" w:eastAsia="宋体" w:cs="Times New Roman"/>
          <w:kern w:val="2"/>
          <w:sz w:val="28"/>
        </w:rPr>
        <w:t>招标公告附表</w:t>
      </w:r>
      <w:bookmarkEnd w:id="0"/>
    </w:p>
    <w:tbl>
      <w:tblPr>
        <w:tblStyle w:val="11"/>
        <w:tblW w:w="152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46"/>
        <w:gridCol w:w="736"/>
        <w:gridCol w:w="879"/>
        <w:gridCol w:w="1740"/>
        <w:gridCol w:w="745"/>
        <w:gridCol w:w="732"/>
        <w:gridCol w:w="5025"/>
        <w:gridCol w:w="750"/>
        <w:gridCol w:w="743"/>
        <w:gridCol w:w="1090"/>
        <w:gridCol w:w="819"/>
        <w:gridCol w:w="5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包件号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包件名称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物资设备名称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规格型号</w:t>
            </w: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计量单位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需求数量</w:t>
            </w:r>
          </w:p>
        </w:tc>
        <w:tc>
          <w:tcPr>
            <w:tcW w:w="5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资格条件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交货时间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交货地点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交货状态及条件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收货单位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tblHeader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JCW01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分段绝缘器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消弧分段绝缘器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5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1.营业范围：在中华人民共和国境内依法注册，具有独立法人资格的生产商。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2.财务能力：投标人经营情况良好，应提供近三年（2020年-2022年）内任意一年经会计师事务所或审计机构审计的财务会计报表。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3.供货业绩：投标人须具有分段绝缘器近5年（2019年2月至今，以物资采购合同签订时间为准）</w:t>
            </w:r>
            <w:r>
              <w:rPr>
                <w:rFonts w:hint="eastAsia"/>
                <w:highlight w:val="none"/>
              </w:rPr>
              <w:t>铁路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供货业绩，须提供对应的中标通知书、合同协议书、物资进场验收证明材料（某批次）或用户使用良好证明。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30日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至施工结束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雄安枢纽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货物完好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安装调试完成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铁建电气化局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both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JCW02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分相装置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分相装置</w:t>
            </w: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1.营业范围：在中华人民共和国境内依法注册，具有独立法人资格的生产商。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2.财务能力：投标人经营情况良好，应提供近三年（2020年-2022年）内任意一年经会计师事务所或审计机构审计的财务会计报表。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3.供货业绩：投标人须具有分相装置近5年（2019年2月至今，以物资采购合同签订时间为准）铁路供货业绩，须提供对应的中标通知书、合同协议书、物资进场验收证明材料（某批次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）或用户使用良好证明。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30日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至施工结束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雄安枢纽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货物完好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安装调试完成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铁建电气化局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XX01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信息系统设备</w:t>
            </w:r>
          </w:p>
        </w:tc>
        <w:tc>
          <w:tcPr>
            <w:tcW w:w="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信息系统设备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动车管理信息系统扩容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1.营业范围：在中华人民共和国境内依法注册，具有独立法人资格的供应商。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2.财务能力：投标人经营情况良好，应提供近三年（2020年-2022年）内任意一年经会计师事务所或审计机构审计的财务会计报表。</w:t>
            </w: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3.供货业绩：投标人须具有信息系统设备近5年（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2019年</w:t>
            </w:r>
            <w:r>
              <w:rPr>
                <w:rFonts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eastAsia"/>
                <w:highlight w:val="none"/>
              </w:rPr>
              <w:t>至今，以物资采购合同签订时间为准）供货业绩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</w:rPr>
              <w:t>须提供对应的中标通知书、合同协议书、物资进场验收证明材料（某批次）或用户使用良好证明。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月至施工结束</w:t>
            </w:r>
          </w:p>
        </w:tc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雄安枢纽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货物完好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安装调试完成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铁建电气化局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动车管理信息系统软件修改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核心交换机扩容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汇聚交换机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网络交换机（百兆，24光口，2光口）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网络交换机（百兆，24电口，2千兆电口）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系统维护终端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标准机柜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视频软件修改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磁盘阵列扩容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室内/外摄像机快球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视频管理工作站软件修改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视频监控终端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标准机柜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调度终端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16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A3激光打印机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17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办公终端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18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打印机(A4,彩色)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19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网络打印机(A4，激光黑白)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网络打印机(A3，激光黑白)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21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工位机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22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A3激光打印机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23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WIFI管理服务器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24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审计服务器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无线控制设备扩容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26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手持终端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无线AP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28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室内弱电箱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29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中继柜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LED大屏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31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LED屏控制站软件修改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32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机房环境监测系统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33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机房电源环境监控中心设备接入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34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UPS 30KVA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项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交流配电柜/UPS配电柜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稳压电源40KVA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37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系统防雷接地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处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38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标准机柜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39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24口语音配线架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24口数据配线架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48口数据配线架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42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24口光纤配线架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43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光电转换器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44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门禁系统管理主机软件修改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台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45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双门控制器模块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46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电磁锁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47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出门按钮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48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普通读卡器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个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49</w:t>
            </w:r>
          </w:p>
        </w:tc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非接触IC卡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张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100</w:t>
            </w:r>
          </w:p>
        </w:tc>
        <w:tc>
          <w:tcPr>
            <w:tcW w:w="5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>
      <w:pPr>
        <w:pStyle w:val="3"/>
        <w:rPr>
          <w:lang w:bidi="en-US"/>
        </w:rPr>
      </w:pPr>
    </w:p>
    <w:p>
      <w:pPr>
        <w:pStyle w:val="3"/>
        <w:rPr>
          <w:lang w:bidi="en-US"/>
        </w:rPr>
      </w:pPr>
    </w:p>
    <w:p>
      <w:pPr>
        <w:pStyle w:val="3"/>
        <w:rPr>
          <w:lang w:bidi="en-US"/>
        </w:rPr>
        <w:sectPr>
          <w:footerReference r:id="rId4" w:type="first"/>
          <w:footerReference r:id="rId3" w:type="default"/>
          <w:pgSz w:w="16838" w:h="11906" w:orient="landscape"/>
          <w:pgMar w:top="1134" w:right="907" w:bottom="1134" w:left="907" w:header="851" w:footer="992" w:gutter="0"/>
          <w:cols w:space="0" w:num="1"/>
          <w:rtlGutter w:val="0"/>
          <w:docGrid w:linePitch="312" w:charSpace="0"/>
        </w:sectPr>
      </w:pPr>
    </w:p>
    <w:p>
      <w:pPr>
        <w:spacing w:before="100"/>
        <w:rPr>
          <w:rFonts w:cs="Times New Roman"/>
          <w:sz w:val="28"/>
        </w:rPr>
      </w:pPr>
    </w:p>
    <w:p>
      <w:pPr>
        <w:pStyle w:val="8"/>
        <w:widowControl w:val="0"/>
        <w:spacing w:before="100" w:after="0" w:line="360" w:lineRule="auto"/>
        <w:jc w:val="both"/>
        <w:rPr>
          <w:rFonts w:ascii="Times New Roman" w:hAnsi="Times New Roman" w:eastAsia="宋体" w:cs="Times New Roman"/>
          <w:kern w:val="2"/>
          <w:sz w:val="28"/>
        </w:rPr>
      </w:pPr>
      <w:bookmarkStart w:id="1" w:name="_Toc25689"/>
      <w:r>
        <w:rPr>
          <w:rFonts w:ascii="Times New Roman" w:hAnsi="Times New Roman" w:eastAsia="宋体" w:cs="Times New Roman"/>
          <w:kern w:val="2"/>
          <w:sz w:val="28"/>
        </w:rPr>
        <w:t>附件</w:t>
      </w:r>
      <w:r>
        <w:rPr>
          <w:rFonts w:hint="eastAsia" w:ascii="Times New Roman" w:hAnsi="Times New Roman" w:eastAsia="宋体" w:cs="Times New Roman"/>
          <w:kern w:val="2"/>
          <w:sz w:val="28"/>
        </w:rPr>
        <w:t>2</w:t>
      </w:r>
      <w:r>
        <w:rPr>
          <w:rFonts w:ascii="Times New Roman" w:hAnsi="Times New Roman" w:eastAsia="宋体" w:cs="Times New Roman"/>
          <w:kern w:val="2"/>
          <w:sz w:val="28"/>
        </w:rPr>
        <w:t>：</w:t>
      </w:r>
      <w:r>
        <w:rPr>
          <w:rFonts w:hint="eastAsia" w:ascii="Times New Roman" w:hAnsi="Times New Roman" w:eastAsia="宋体" w:cs="Times New Roman"/>
          <w:kern w:val="2"/>
          <w:sz w:val="28"/>
        </w:rPr>
        <w:t>支付方式</w:t>
      </w:r>
      <w:bookmarkEnd w:id="1"/>
    </w:p>
    <w:p>
      <w:pPr>
        <w:widowControl/>
        <w:jc w:val="left"/>
        <w:rPr>
          <w:rFonts w:ascii="宋体" w:hAnsi="宋体" w:cs="宋体"/>
          <w:szCs w:val="21"/>
        </w:rPr>
      </w:pPr>
    </w:p>
    <w:p>
      <w:pPr>
        <w:widowControl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标人须在中国铁物电子招投标平台（https://www.bidding-crmsc.com.cn/）完成免费注册。在招标文件发售期间可通过“投标管理”完成汇款，招标文件支付方式只支持网上支付（个人网银或企业网银）。完成相应包件支付后，将“支付成功”界面的截图作为缴费凭证，上传至北京工程建设公共资源交易平台（并将负责本项目的投标负责人和联系方式一并上传），通过北京工程建设公共资源交易平台下载招标文件（电子版）。</w:t>
      </w:r>
      <w:r>
        <w:rPr>
          <w:rFonts w:hint="eastAsia" w:ascii="宋体" w:hAnsi="宋体" w:cs="宋体"/>
          <w:b/>
          <w:bCs/>
          <w:szCs w:val="21"/>
        </w:rPr>
        <w:t>（交易中心最新通知：2023年12月31日北京工程建设交易信息网原系统登录口关停，新网址为https://ggzyfw.beijing.gov.cn/，如有关于交易中心的问题，请及时与交易中心联系，以免影响正常投标。）</w:t>
      </w:r>
    </w:p>
    <w:p>
      <w:pPr>
        <w:widowControl/>
        <w:ind w:firstLine="420" w:firstLineChars="200"/>
        <w:jc w:val="left"/>
      </w:pPr>
      <w:r>
        <w:rPr>
          <w:rFonts w:hint="eastAsia" w:ascii="宋体" w:hAnsi="宋体" w:cs="宋体"/>
          <w:szCs w:val="21"/>
        </w:rPr>
        <w:t>[标书款发票：将按照投标人在中国铁物电子招投标平台“系统管理”-“公司信息”中录入的开票信息开具标书款发票（开票信息如有变更请及时更新），待开具成功后，投标人通过“投标管理”-“电票下载”自行下载]。</w:t>
      </w:r>
    </w:p>
    <w:p>
      <w:pPr>
        <w:rPr>
          <w:sz w:val="32"/>
        </w:rPr>
      </w:pPr>
    </w:p>
    <w:p>
      <w:pPr>
        <w:pStyle w:val="3"/>
      </w:pPr>
      <w:r>
        <w:rPr>
          <w:rFonts w:hint="eastAsia"/>
        </w:rPr>
        <w:t>代理机构：</w:t>
      </w:r>
    </w:p>
    <w:p>
      <w:pPr>
        <w:spacing w:line="276" w:lineRule="auto"/>
      </w:pPr>
      <w:r>
        <w:t>名  称：</w:t>
      </w:r>
      <w:r>
        <w:rPr>
          <w:rFonts w:hint="eastAsia" w:ascii="宋体" w:hAnsi="宋体" w:cs="Times New Roman"/>
          <w:szCs w:val="21"/>
        </w:rPr>
        <w:t>中铁物总国际招标有限公司</w:t>
      </w:r>
    </w:p>
    <w:p>
      <w:pPr>
        <w:spacing w:line="276" w:lineRule="auto"/>
      </w:pPr>
      <w:r>
        <w:t>地  址：</w:t>
      </w:r>
      <w:r>
        <w:rPr>
          <w:rFonts w:hint="eastAsia"/>
        </w:rPr>
        <w:t>北京市丰台区凤凰嘴街鼎兴大厦A座11层</w:t>
      </w:r>
    </w:p>
    <w:p>
      <w:pPr>
        <w:spacing w:line="276" w:lineRule="auto"/>
      </w:pPr>
      <w:r>
        <w:t>联系人：</w:t>
      </w:r>
      <w:r>
        <w:rPr>
          <w:rFonts w:hint="eastAsia"/>
        </w:rPr>
        <w:t>马宾、刘宗凯（开票有关）</w:t>
      </w:r>
    </w:p>
    <w:p>
      <w:pPr/>
      <w:r>
        <w:rPr>
          <w:rFonts w:hint="eastAsia" w:ascii="宋体" w:hAnsi="宋体" w:cs="Times New Roman"/>
          <w:szCs w:val="21"/>
        </w:rPr>
        <w:t>电  话：13483216139、15131159711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Wingdings 2">
    <w:altName w:val="Wingdings"/>
    <w:panose1 w:val="05020102010507070707"/>
    <w:charset w:val="02"/>
    <w:family w:val="moder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Wingdings 2">
    <w:altName w:val="Wingdings"/>
    <w:panose1 w:val="05020102010507070707"/>
    <w:charset w:val="02"/>
    <w:family w:val="swiss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Pi91E0AAA&#10;AAIBAAAPAAAAAAAAAAEAIAAAACIAAABkcnMvZG93bnJldi54bWxQSwECFAAUAAAACACHTuJAXZq0&#10;d7QBAABIAwAADgAAAAAAAAABACAAAAAf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71AD6"/>
    <w:rsid w:val="13943DF3"/>
    <w:rsid w:val="336A5C98"/>
    <w:rsid w:val="520E3ADE"/>
    <w:rsid w:val="7F256E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3">
    <w:name w:val="Body Text"/>
    <w:basedOn w:val="1"/>
    <w:next w:val="4"/>
    <w:qFormat/>
    <w:uiPriority w:val="0"/>
    <w:pPr>
      <w:widowControl/>
      <w:spacing w:after="120"/>
      <w:jc w:val="left"/>
    </w:pPr>
    <w:rPr>
      <w:rFonts w:cs="Times New Roman"/>
      <w:kern w:val="0"/>
    </w:rPr>
  </w:style>
  <w:style w:type="paragraph" w:customStyle="1" w:styleId="4">
    <w:name w:val="Default"/>
    <w:next w:val="5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5">
    <w:name w:val="表格文字"/>
    <w:basedOn w:val="6"/>
    <w:next w:val="1"/>
    <w:qFormat/>
    <w:uiPriority w:val="0"/>
    <w:pPr>
      <w:spacing w:line="0" w:lineRule="atLeast"/>
      <w:jc w:val="center"/>
    </w:pPr>
    <w:rPr>
      <w:rFonts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2024-01-08T02:53:07Z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